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D8850" w14:textId="77777777" w:rsidR="00320130" w:rsidRDefault="00320130" w:rsidP="00035A52">
      <w:pPr>
        <w:spacing w:after="0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БЭ-2022 Федулова Мария Александровна</w:t>
      </w:r>
    </w:p>
    <w:p w14:paraId="49E35920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1. Титульный</w:t>
      </w:r>
    </w:p>
    <w:p w14:paraId="31DF0867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Уважаемый председатель, уважаемые члены государственной экзаменационной комиссии!</w:t>
      </w:r>
    </w:p>
    <w:p w14:paraId="545220D9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Вашему вниманию представляется выпускная квалификационная работа на тему: </w:t>
      </w: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«Оптимизация структуры капитала предприятия»</w:t>
      </w: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36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6DC2FEF8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2. Актуальность</w:t>
      </w:r>
    </w:p>
    <w:p w14:paraId="6CBC5DA3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Актуальность исследования заключается в необходимости оптимизации структуры капитала любых предприятий, особенно в современных сложных экономических условиях. АО «Спецтранс» столкнулось с устойчивыми финансовыми трудностями: снижением рентабельности, ростом долговой нагрузки и неспособностью обслуживать обязательства за счёт операционной прибыли. В этих условиях оптимизация структуры капитала становится ключевым инструментом восстановления финансовой устойчивости и обеспечения долгосрочного развития.</w:t>
      </w:r>
    </w:p>
    <w:p w14:paraId="116125A3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37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56ED9596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3. Теоретические основы</w:t>
      </w:r>
    </w:p>
    <w:p w14:paraId="73907E3F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Изучив фундаментальные исследования в области корпоративных финансов, был выявлен ряд научных парадигм, изучающих проблематику структуры капитала и предлагающих различные методы и модели её оптимизации. Теоретическая база позволила обоснованно подойти к выбору инструментов анализа и разработке рекомендаций.</w:t>
      </w:r>
    </w:p>
    <w:p w14:paraId="0948202A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38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2F06A6AD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4. Характеристика предприятия и ключевые проблемы</w:t>
      </w:r>
    </w:p>
    <w:p w14:paraId="2D351643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Исследование проводилось на примере АО «Спецтранс», функционирующего в Камчатском крае с 2023 года. Основными видами деятельности предприятия являются хранение, переработка и сортировка твёрдых коммунальных отходов. Предприятие является государственным, 100 % акций принадлежит региону, оно занимает монопольное положение на региональном рынке.</w:t>
      </w:r>
    </w:p>
    <w:p w14:paraId="68A3D2E4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ходе анализа выявлены ключевые проблемы функционирования: снижение рентабельности и эффекта финансового рычага, при этом доля заёмного капитала стремительно возрастает. Именно эти проблемы стали отправной точкой для углублённого исследования структуры капитала.</w:t>
      </w:r>
    </w:p>
    <w:p w14:paraId="6FDE6AC3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39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42B2B74C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5. Динамика структуры капитала</w:t>
      </w:r>
    </w:p>
    <w:p w14:paraId="5D2EAD35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Проведя анализ деятельности предприятия, выявлено следующее: собственный капитал сократился на 8 %, а заёмный вырос более чем в 2 раза. Доля собственного капитала в общей структуре составила 67 %, доля заёмного капитала – 33 %. Таким образом, предприятие всё больше зависит от внешних источников финансирования, что само по себе не является критичным, однако, как показывают дальнейшие расчёты, это не сопровождается ростом эффективности.</w:t>
      </w:r>
    </w:p>
    <w:p w14:paraId="62B7B8D9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40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3D3B3A91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СЛАЙД 6. Рентабельность</w:t>
      </w:r>
    </w:p>
    <w:p w14:paraId="2442AF6F" w14:textId="77777777" w:rsidR="00035A52" w:rsidRPr="00035A52" w:rsidRDefault="00035A52" w:rsidP="00035A52">
      <w:pPr>
        <w:spacing w:after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035A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Рентабельность собственного капитала сократилась до минус 13 %, рентабельность активов – до минус 9 %, что свидетельствует о переходе предприятия в зону убыточной деятельности. Капитал перестал приносить доход своим владельцам, а каждый вложенный рубль стал приносить убыток. Это наиболее тревожный сигнал, требующий незамедлительного реагирования.</w:t>
      </w:r>
    </w:p>
    <w:p w14:paraId="2D50F83D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1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164FF782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7. Эффект финансового рычага</w:t>
      </w:r>
    </w:p>
    <w:p w14:paraId="14D6E44F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Исследование показало, что эффект финансового рычага является отрицательным, то есть привлечение заёмного капитала не повышает, а снижает рентабельность собственного капитала. Это означает, что текущая структура финансирования не просто неэффективна, а разрушает стоимость для собственников. Данный факт подтверждает необходимость кардинального пересмотра подходов к формированию капитала.</w:t>
      </w:r>
    </w:p>
    <w:p w14:paraId="13017961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2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3A9A2713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8. Дополнительные методы оценки</w:t>
      </w:r>
    </w:p>
    <w:p w14:paraId="46D9DD84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Для верификации полученных выводов были применены дополнительные теоретические методы. Применив их, мы выяснили, что фактическая операционная прибыль предприятия в разы ниже критического уровня, при котором использование заёмного капитала перестаёт быть убыточным. Это дополнительно подтверждает неэффективность текущей структуры капитала и обосновывает необходимость её оптимизации.</w:t>
      </w:r>
    </w:p>
    <w:p w14:paraId="2F13F416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3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2B87AF62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9. Рекомендации по оптимизации структуры капитала</w:t>
      </w:r>
    </w:p>
    <w:p w14:paraId="0F600FB5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На основе проведённого анализа разработаны рекомендации по трём направлениям.</w:t>
      </w:r>
    </w:p>
    <w:p w14:paraId="734742B5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Первое направление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– повышение операционной эффективности, что приведёт к росту операционной прибыли до уровня, при котором заёмный капитал становится выгодным.</w:t>
      </w:r>
    </w:p>
    <w:p w14:paraId="0FD6FD30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Второе направление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– реструктуризация источников финансирования, что приведёт к снижению долговой нагрузки и замещению дорогих кредитов бесплатным целевым финансированием от учредителя.</w:t>
      </w:r>
    </w:p>
    <w:p w14:paraId="45BBCF69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Третье направление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– формирование целевой структуры капитала, что приведёт к сбалансированному соотношению собственных и заёмных средств и повышению финансовой устойчивости в долгосрочной перспективе.</w:t>
      </w:r>
    </w:p>
    <w:p w14:paraId="5110D918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4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0E65416B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10. Поэтапный план 2026–2028 гг.</w:t>
      </w:r>
    </w:p>
    <w:p w14:paraId="5D8B5539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Для практической реализации предложенных мероприятий разработан поэтапный план.</w:t>
      </w:r>
    </w:p>
    <w:p w14:paraId="4551641E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На первом этапе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(2026 год) планируется восстановление операционной прибыльности и реструктуризация долгов.</w:t>
      </w:r>
    </w:p>
    <w:p w14:paraId="5E7AA8C4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На втором этапе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(2027 год) – достижение целевой доли субсидий и снижение кредиторской задолженности.</w:t>
      </w:r>
    </w:p>
    <w:p w14:paraId="22A94730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На третьем этапе</w:t>
      </w:r>
      <w:r w:rsidRPr="00035A52">
        <w:rPr>
          <w:rFonts w:ascii="Segoe UI" w:eastAsia="Times New Roman" w:hAnsi="Segoe UI" w:cs="Segoe UI"/>
          <w:color w:val="0F1115"/>
          <w:lang w:eastAsia="ru-RU"/>
        </w:rPr>
        <w:t> (2028 год) – выход на целевую структуру капитала и обеспечение положительной рентабельности собственного капитала.</w:t>
      </w:r>
    </w:p>
    <w:p w14:paraId="531CCA10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5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1280A88C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11. Ожидаемая эффективность</w:t>
      </w:r>
    </w:p>
    <w:p w14:paraId="6CCEC970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В результате предлагаемых мероприятий ожидается рост рентабельности собственного капитала с отрицательных значений до целевого уровня 8–10 %, а также повышение финансовой независимости за счёт снижения доли заёмного капитала с 33 % до 20–22 %. Это позволит предприятию восстановить устойчивость, снизить зависимость от кредиторов, повысить инвестиционную привлекательность и обеспечить долгосрочное развитие без ущерба для качества оказываемых услуг.</w:t>
      </w:r>
    </w:p>
    <w:p w14:paraId="5412D1EF" w14:textId="77777777" w:rsidR="00035A52" w:rsidRPr="00035A52" w:rsidRDefault="00035A52" w:rsidP="00035A52">
      <w:pPr>
        <w:spacing w:before="480" w:after="48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  <w:r w:rsidRPr="00035A52">
        <w:rPr>
          <w:rFonts w:ascii="Times New Roman" w:eastAsia="Times New Roman" w:hAnsi="Times New Roman" w:cs="Times New Roman"/>
          <w:noProof/>
          <w:lang w:eastAsia="ru-RU"/>
        </w:rPr>
      </w:r>
      <w:r w:rsidR="00035A52" w:rsidRPr="00035A52">
        <w:rPr>
          <w:rFonts w:ascii="Times New Roman" w:eastAsia="Times New Roman" w:hAnsi="Times New Roman" w:cs="Times New Roman"/>
          <w:noProof/>
          <w:lang w:eastAsia="ru-RU"/>
        </w:rPr>
        <w:pict>
          <v:rect id="_x0000_i1046" alt="" style="width:467.75pt;height:.05pt;mso-width-percent:0;mso-height-percent:0;mso-width-percent:0;mso-height-percent:0" o:hralign="center" o:hrstd="t" o:hrnoshade="t" o:hr="t" fillcolor="#0f1115" stroked="f"/>
        </w:pict>
      </w:r>
    </w:p>
    <w:p w14:paraId="710CAE97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СЛАЙД 12. Заключение</w:t>
      </w:r>
    </w:p>
    <w:p w14:paraId="0E92BEDC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Финансовое состояние АО «Спецтранс» по итогам 2025 года можно охарактеризовать как кризисное с точки зрения прибыльности, но сохраняющее базовую ликвидность, что даёт шанс на восстановление при условии принятия своевременных управленческих решений.</w:t>
      </w:r>
    </w:p>
    <w:p w14:paraId="2EB0B5E5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Разработанные рекомендации охватывают все выявленные проблемные зоны: восстановление прибыльности, снижение долговой нагрузки и формирование целевой структуры капитала с системой мониторинга.</w:t>
      </w:r>
    </w:p>
    <w:p w14:paraId="4C3EDFF7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color w:val="0F1115"/>
          <w:lang w:eastAsia="ru-RU"/>
        </w:rPr>
        <w:t>Реализация предложенных мер позволит предприятию выйти из зоны убыточной деятельности, восстановить положительную рентабельность и обеспечить долгосрочную финансовую устойчивость.</w:t>
      </w:r>
    </w:p>
    <w:p w14:paraId="2322F567" w14:textId="77777777" w:rsidR="00035A52" w:rsidRPr="00035A52" w:rsidRDefault="00035A52" w:rsidP="00035A52">
      <w:pPr>
        <w:spacing w:before="240" w:after="240" w:line="240" w:lineRule="auto"/>
        <w:ind w:firstLine="0"/>
        <w:jc w:val="left"/>
        <w:rPr>
          <w:rFonts w:ascii="Segoe UI" w:eastAsia="Times New Roman" w:hAnsi="Segoe UI" w:cs="Segoe UI"/>
          <w:color w:val="0F1115"/>
          <w:lang w:eastAsia="ru-RU"/>
        </w:rPr>
      </w:pPr>
      <w:r w:rsidRPr="00035A52">
        <w:rPr>
          <w:rFonts w:ascii="Segoe UI" w:eastAsia="Times New Roman" w:hAnsi="Segoe UI" w:cs="Segoe UI"/>
          <w:b/>
          <w:bCs/>
          <w:color w:val="0F1115"/>
          <w:lang w:eastAsia="ru-RU"/>
        </w:rPr>
        <w:t>Доклад окончен. Благодарю за внимание. Готова ответить на вопросы.</w:t>
      </w:r>
    </w:p>
    <w:p w14:paraId="0F2D2EC3" w14:textId="77777777" w:rsidR="00035A52" w:rsidRPr="00035A52" w:rsidRDefault="00035A52" w:rsidP="00035A52">
      <w:pPr>
        <w:spacing w:after="0"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</w:p>
    <w:p w14:paraId="5367A71C" w14:textId="77777777" w:rsidR="00F4372C" w:rsidRPr="00A04436" w:rsidRDefault="00F4372C" w:rsidP="00A0443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4372C" w:rsidRPr="00A04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436"/>
    <w:rsid w:val="00035A52"/>
    <w:rsid w:val="00320130"/>
    <w:rsid w:val="00A04436"/>
    <w:rsid w:val="00C17859"/>
    <w:rsid w:val="00D90CA0"/>
    <w:rsid w:val="00F4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7493"/>
  <w15:chartTrackingRefBased/>
  <w15:docId w15:val="{4CEB823B-5E18-1646-9BA8-4DB53848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A0443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3">
    <w:name w:val="Strong"/>
    <w:basedOn w:val="a0"/>
    <w:uiPriority w:val="22"/>
    <w:qFormat/>
    <w:rsid w:val="00A04436"/>
    <w:rPr>
      <w:b/>
      <w:bCs/>
    </w:rPr>
  </w:style>
  <w:style w:type="character" w:customStyle="1" w:styleId="apple-converted-space">
    <w:name w:val="apple-converted-space"/>
    <w:basedOn w:val="a0"/>
    <w:rsid w:val="00A04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Федулова</dc:creator>
  <cp:keywords/>
  <dc:description/>
  <cp:lastModifiedBy>Мария Федулова</cp:lastModifiedBy>
  <cp:revision>1</cp:revision>
  <cp:lastPrinted>2026-06-10T21:59:00Z</cp:lastPrinted>
  <dcterms:created xsi:type="dcterms:W3CDTF">2026-06-10T21:51:00Z</dcterms:created>
  <dcterms:modified xsi:type="dcterms:W3CDTF">2026-06-16T03:30:00Z</dcterms:modified>
</cp:coreProperties>
</file>